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AF" w:rsidRPr="00332C4E" w:rsidRDefault="00B76BAF" w:rsidP="00DA3A78">
      <w:pPr>
        <w:tabs>
          <w:tab w:val="left" w:pos="2542"/>
        </w:tabs>
        <w:ind w:left="-426"/>
        <w:rPr>
          <w:b/>
          <w:sz w:val="16"/>
          <w:szCs w:val="16"/>
        </w:rPr>
      </w:pPr>
      <w:r>
        <w:rPr>
          <w:b/>
          <w:sz w:val="16"/>
          <w:szCs w:val="16"/>
        </w:rPr>
        <w:t>Confronto tra proposte su PAC e Quadro Finanziario Pluriennale (QFP) 2014-2020 rispetto a QFP 207-2013</w:t>
      </w:r>
    </w:p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417"/>
        <w:gridCol w:w="1418"/>
        <w:gridCol w:w="1417"/>
        <w:gridCol w:w="1418"/>
        <w:gridCol w:w="1417"/>
        <w:gridCol w:w="1701"/>
        <w:gridCol w:w="1843"/>
        <w:gridCol w:w="1843"/>
      </w:tblGrid>
      <w:tr w:rsidR="008515B7" w:rsidRPr="00332C4E" w:rsidTr="008B456D">
        <w:tc>
          <w:tcPr>
            <w:tcW w:w="1702" w:type="dxa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8515B7" w:rsidRPr="00332C4E" w:rsidRDefault="008515B7" w:rsidP="00DA3A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15B7" w:rsidRPr="00332C4E" w:rsidRDefault="008515B7" w:rsidP="00DA3A78">
            <w:pPr>
              <w:jc w:val="center"/>
              <w:rPr>
                <w:b/>
                <w:sz w:val="16"/>
                <w:szCs w:val="16"/>
              </w:rPr>
            </w:pPr>
            <w:r w:rsidRPr="00332C4E">
              <w:rPr>
                <w:b/>
                <w:sz w:val="16"/>
                <w:szCs w:val="16"/>
              </w:rPr>
              <w:t>2007-2013</w:t>
            </w:r>
          </w:p>
        </w:tc>
        <w:tc>
          <w:tcPr>
            <w:tcW w:w="12474" w:type="dxa"/>
            <w:gridSpan w:val="8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515B7" w:rsidRPr="00332C4E" w:rsidRDefault="008515B7" w:rsidP="00DA3A78">
            <w:pPr>
              <w:jc w:val="center"/>
              <w:rPr>
                <w:b/>
                <w:sz w:val="16"/>
                <w:szCs w:val="16"/>
              </w:rPr>
            </w:pPr>
            <w:r w:rsidRPr="00332C4E">
              <w:rPr>
                <w:b/>
                <w:sz w:val="16"/>
                <w:szCs w:val="16"/>
              </w:rPr>
              <w:t>2014-2020</w:t>
            </w:r>
          </w:p>
        </w:tc>
      </w:tr>
      <w:tr w:rsidR="00347883" w:rsidRPr="00332C4E" w:rsidTr="008B456D">
        <w:trPr>
          <w:trHeight w:val="1227"/>
        </w:trPr>
        <w:tc>
          <w:tcPr>
            <w:tcW w:w="17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91B96" w:rsidRPr="00332C4E" w:rsidRDefault="00691B9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2F3F" w:rsidRPr="008B456D" w:rsidRDefault="00691B96" w:rsidP="005D2F3F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691B96" w:rsidRPr="008B456D" w:rsidRDefault="00691B96" w:rsidP="005D2F3F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2007-2013*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Proposte Commissione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</w:t>
            </w:r>
            <w:proofErr w:type="spellStart"/>
            <w:r w:rsidRPr="008B456D">
              <w:rPr>
                <w:b/>
                <w:sz w:val="16"/>
                <w:szCs w:val="16"/>
              </w:rPr>
              <w:t>com</w:t>
            </w:r>
            <w:proofErr w:type="spellEnd"/>
            <w:r w:rsidR="00332C4E" w:rsidRPr="008B456D">
              <w:rPr>
                <w:b/>
                <w:sz w:val="16"/>
                <w:szCs w:val="16"/>
              </w:rPr>
              <w:t>(</w:t>
            </w:r>
            <w:r w:rsidRPr="008B456D">
              <w:rPr>
                <w:b/>
                <w:sz w:val="16"/>
                <w:szCs w:val="16"/>
              </w:rPr>
              <w:t>2011</w:t>
            </w:r>
            <w:r w:rsidR="00332C4E" w:rsidRPr="008B456D">
              <w:rPr>
                <w:b/>
                <w:sz w:val="16"/>
                <w:szCs w:val="16"/>
              </w:rPr>
              <w:t>)</w:t>
            </w:r>
            <w:r w:rsidRPr="008B456D">
              <w:rPr>
                <w:b/>
                <w:sz w:val="16"/>
                <w:szCs w:val="16"/>
              </w:rPr>
              <w:t xml:space="preserve"> 500)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(giugno 2011)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691B96" w:rsidRPr="008B456D" w:rsidRDefault="008515B7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Proposta Commissione rivista</w:t>
            </w:r>
            <w:r w:rsidR="00691B96" w:rsidRPr="008B456D">
              <w:rPr>
                <w:b/>
                <w:sz w:val="16"/>
                <w:szCs w:val="16"/>
              </w:rPr>
              <w:t xml:space="preserve"> (UE-28)</w:t>
            </w:r>
          </w:p>
          <w:p w:rsidR="00691B96" w:rsidRPr="008B456D" w:rsidRDefault="00332C4E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</w:t>
            </w:r>
            <w:proofErr w:type="spellStart"/>
            <w:r w:rsidRPr="008B456D">
              <w:rPr>
                <w:b/>
                <w:sz w:val="16"/>
                <w:szCs w:val="16"/>
              </w:rPr>
              <w:t>com</w:t>
            </w:r>
            <w:proofErr w:type="spellEnd"/>
            <w:r w:rsidRPr="008B456D">
              <w:rPr>
                <w:b/>
                <w:sz w:val="16"/>
                <w:szCs w:val="16"/>
              </w:rPr>
              <w:t>(</w:t>
            </w:r>
            <w:r w:rsidR="00691B96" w:rsidRPr="008B456D">
              <w:rPr>
                <w:b/>
                <w:sz w:val="16"/>
                <w:szCs w:val="16"/>
              </w:rPr>
              <w:t>2012</w:t>
            </w:r>
            <w:r w:rsidRPr="008B456D">
              <w:rPr>
                <w:b/>
                <w:sz w:val="16"/>
                <w:szCs w:val="16"/>
              </w:rPr>
              <w:t>)</w:t>
            </w:r>
            <w:r w:rsidR="00691B96" w:rsidRPr="008B456D">
              <w:rPr>
                <w:b/>
                <w:sz w:val="16"/>
                <w:szCs w:val="16"/>
              </w:rPr>
              <w:t xml:space="preserve"> 388)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(luglio 2012)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691B96" w:rsidRPr="008B456D" w:rsidRDefault="008515B7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Proposta Commissione rivista</w:t>
            </w:r>
            <w:r w:rsidR="00691B96" w:rsidRPr="008B456D">
              <w:rPr>
                <w:b/>
                <w:sz w:val="16"/>
                <w:szCs w:val="16"/>
              </w:rPr>
              <w:t xml:space="preserve"> (UE-27)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</w:t>
            </w:r>
            <w:proofErr w:type="spellStart"/>
            <w:r w:rsidRPr="008B456D">
              <w:rPr>
                <w:b/>
                <w:sz w:val="16"/>
                <w:szCs w:val="16"/>
              </w:rPr>
              <w:t>com</w:t>
            </w:r>
            <w:proofErr w:type="spellEnd"/>
            <w:r w:rsidR="00332C4E" w:rsidRPr="008B456D">
              <w:rPr>
                <w:b/>
                <w:sz w:val="16"/>
                <w:szCs w:val="16"/>
              </w:rPr>
              <w:t>(</w:t>
            </w:r>
            <w:r w:rsidRPr="008B456D">
              <w:rPr>
                <w:b/>
                <w:sz w:val="16"/>
                <w:szCs w:val="16"/>
              </w:rPr>
              <w:t>2012</w:t>
            </w:r>
            <w:r w:rsidR="00332C4E" w:rsidRPr="008B456D">
              <w:rPr>
                <w:b/>
                <w:sz w:val="16"/>
                <w:szCs w:val="16"/>
              </w:rPr>
              <w:t>)</w:t>
            </w:r>
            <w:r w:rsidRPr="008B456D">
              <w:rPr>
                <w:b/>
                <w:sz w:val="16"/>
                <w:szCs w:val="16"/>
              </w:rPr>
              <w:t xml:space="preserve"> 388)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(luglio 2012)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PAC</w:t>
            </w:r>
          </w:p>
          <w:p w:rsidR="00691B96" w:rsidRPr="008B456D" w:rsidRDefault="008515B7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Proposta</w:t>
            </w:r>
            <w:r w:rsidR="00691B96" w:rsidRPr="008B456D">
              <w:rPr>
                <w:b/>
                <w:sz w:val="16"/>
                <w:szCs w:val="16"/>
              </w:rPr>
              <w:t xml:space="preserve"> Commissione</w:t>
            </w:r>
          </w:p>
          <w:p w:rsidR="00691B96" w:rsidRPr="008B456D" w:rsidRDefault="00332C4E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</w:t>
            </w:r>
            <w:proofErr w:type="spellStart"/>
            <w:r w:rsidRPr="008B456D">
              <w:rPr>
                <w:b/>
                <w:sz w:val="16"/>
                <w:szCs w:val="16"/>
              </w:rPr>
              <w:t>com</w:t>
            </w:r>
            <w:proofErr w:type="spellEnd"/>
            <w:r w:rsidRPr="008B456D">
              <w:rPr>
                <w:b/>
                <w:sz w:val="16"/>
                <w:szCs w:val="16"/>
              </w:rPr>
              <w:t>(</w:t>
            </w:r>
            <w:r w:rsidR="00691B96" w:rsidRPr="008B456D">
              <w:rPr>
                <w:b/>
                <w:sz w:val="16"/>
                <w:szCs w:val="16"/>
              </w:rPr>
              <w:t>2011</w:t>
            </w:r>
            <w:r w:rsidRPr="008B456D">
              <w:rPr>
                <w:b/>
                <w:sz w:val="16"/>
                <w:szCs w:val="16"/>
              </w:rPr>
              <w:t>)</w:t>
            </w:r>
            <w:r w:rsidR="00691B96" w:rsidRPr="008B456D">
              <w:rPr>
                <w:b/>
                <w:sz w:val="16"/>
                <w:szCs w:val="16"/>
              </w:rPr>
              <w:t xml:space="preserve"> 625)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(ottobre 2011)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PAC</w:t>
            </w:r>
          </w:p>
          <w:p w:rsidR="006F64C3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COMAGRI 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(giugno 2012)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691B96" w:rsidP="00250E5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B456D">
              <w:rPr>
                <w:b/>
                <w:sz w:val="16"/>
                <w:szCs w:val="16"/>
                <w:lang w:val="en-US"/>
              </w:rPr>
              <w:t>QFP</w:t>
            </w:r>
          </w:p>
          <w:p w:rsidR="006F64C3" w:rsidRDefault="00691B96" w:rsidP="00250E5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B456D">
              <w:rPr>
                <w:b/>
                <w:i/>
                <w:sz w:val="16"/>
                <w:szCs w:val="16"/>
                <w:lang w:val="en-US"/>
              </w:rPr>
              <w:t>Revised</w:t>
            </w:r>
            <w:r w:rsidRPr="008B456D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8B456D">
              <w:rPr>
                <w:b/>
                <w:i/>
                <w:sz w:val="16"/>
                <w:szCs w:val="16"/>
                <w:lang w:val="en-US"/>
              </w:rPr>
              <w:t>negotiating box</w:t>
            </w:r>
            <w:r w:rsidRPr="008B456D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456D">
              <w:rPr>
                <w:b/>
                <w:sz w:val="16"/>
                <w:szCs w:val="16"/>
                <w:lang w:val="en-US"/>
              </w:rPr>
              <w:t>Presidenza</w:t>
            </w:r>
            <w:proofErr w:type="spellEnd"/>
            <w:r w:rsidRPr="008B456D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456D">
              <w:rPr>
                <w:b/>
                <w:sz w:val="16"/>
                <w:szCs w:val="16"/>
                <w:lang w:val="en-US"/>
              </w:rPr>
              <w:t>Cipro</w:t>
            </w:r>
            <w:proofErr w:type="spellEnd"/>
            <w:r w:rsidRPr="008B456D">
              <w:rPr>
                <w:b/>
                <w:sz w:val="16"/>
                <w:szCs w:val="16"/>
                <w:lang w:val="en-US"/>
              </w:rPr>
              <w:t xml:space="preserve"> </w:t>
            </w:r>
            <w:r w:rsidR="006F64C3">
              <w:rPr>
                <w:b/>
                <w:sz w:val="16"/>
                <w:szCs w:val="16"/>
                <w:lang w:val="en-US"/>
              </w:rPr>
              <w:t>(UE-28)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8B456D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8B456D">
              <w:rPr>
                <w:b/>
                <w:sz w:val="16"/>
                <w:szCs w:val="16"/>
                <w:lang w:val="en-US"/>
              </w:rPr>
              <w:t>ottobre</w:t>
            </w:r>
            <w:proofErr w:type="spellEnd"/>
            <w:r w:rsidRPr="008B456D">
              <w:rPr>
                <w:b/>
                <w:sz w:val="16"/>
                <w:szCs w:val="16"/>
                <w:lang w:val="en-US"/>
              </w:rPr>
              <w:t xml:space="preserve"> 2012)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50E51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332C4E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Proposta </w:t>
            </w:r>
          </w:p>
          <w:p w:rsidR="00691B96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Van </w:t>
            </w:r>
            <w:proofErr w:type="spellStart"/>
            <w:r w:rsidRPr="008B456D">
              <w:rPr>
                <w:b/>
                <w:sz w:val="16"/>
                <w:szCs w:val="16"/>
              </w:rPr>
              <w:t>Rompuy</w:t>
            </w:r>
            <w:proofErr w:type="spellEnd"/>
            <w:r w:rsidRPr="008B456D">
              <w:rPr>
                <w:b/>
                <w:sz w:val="16"/>
                <w:szCs w:val="16"/>
              </w:rPr>
              <w:t xml:space="preserve"> I</w:t>
            </w:r>
          </w:p>
          <w:p w:rsidR="006F64C3" w:rsidRPr="008B456D" w:rsidRDefault="006F64C3" w:rsidP="0025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(UE-28)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(13 novembre 2012)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250E51" w:rsidRPr="008B456D" w:rsidRDefault="00250E51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>QFP</w:t>
            </w:r>
          </w:p>
          <w:p w:rsidR="00332C4E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Proposta </w:t>
            </w:r>
          </w:p>
          <w:p w:rsidR="00332C4E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Van </w:t>
            </w:r>
            <w:proofErr w:type="spellStart"/>
            <w:r w:rsidRPr="008B456D">
              <w:rPr>
                <w:b/>
                <w:sz w:val="16"/>
                <w:szCs w:val="16"/>
              </w:rPr>
              <w:t>Rompuy</w:t>
            </w:r>
            <w:proofErr w:type="spellEnd"/>
            <w:r w:rsidRPr="008B456D">
              <w:rPr>
                <w:b/>
                <w:sz w:val="16"/>
                <w:szCs w:val="16"/>
              </w:rPr>
              <w:t xml:space="preserve"> II</w:t>
            </w:r>
          </w:p>
          <w:p w:rsidR="006F64C3" w:rsidRPr="008B456D" w:rsidRDefault="006F64C3" w:rsidP="00250E5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(UE-28)</w:t>
            </w:r>
          </w:p>
          <w:p w:rsidR="00691B96" w:rsidRPr="008B456D" w:rsidRDefault="00691B96" w:rsidP="00250E51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 (22 novembre 2012)</w:t>
            </w:r>
          </w:p>
        </w:tc>
      </w:tr>
      <w:tr w:rsidR="00691B96" w:rsidRPr="00332C4E" w:rsidTr="008B456D">
        <w:trPr>
          <w:trHeight w:val="335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91B96" w:rsidRPr="00332C4E" w:rsidRDefault="00691B96">
            <w:pPr>
              <w:rPr>
                <w:sz w:val="16"/>
                <w:szCs w:val="16"/>
              </w:rPr>
            </w:pP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91B96" w:rsidRPr="008B456D" w:rsidRDefault="00691B96" w:rsidP="008B456D">
            <w:pPr>
              <w:jc w:val="center"/>
              <w:rPr>
                <w:b/>
                <w:sz w:val="16"/>
                <w:szCs w:val="16"/>
              </w:rPr>
            </w:pPr>
            <w:r w:rsidRPr="008B456D">
              <w:rPr>
                <w:b/>
                <w:sz w:val="16"/>
                <w:szCs w:val="16"/>
              </w:rPr>
              <w:t xml:space="preserve">Milioni euro – prezzi 2011 (totale </w:t>
            </w:r>
            <w:r w:rsidR="008515B7" w:rsidRPr="008B456D">
              <w:rPr>
                <w:b/>
                <w:sz w:val="16"/>
                <w:szCs w:val="16"/>
              </w:rPr>
              <w:t>QFP</w:t>
            </w:r>
            <w:r w:rsidRPr="008B456D">
              <w:rPr>
                <w:b/>
                <w:sz w:val="16"/>
                <w:szCs w:val="16"/>
              </w:rPr>
              <w:t>)</w:t>
            </w:r>
          </w:p>
        </w:tc>
      </w:tr>
      <w:tr w:rsidR="008515B7" w:rsidRPr="005D2F3F" w:rsidTr="008B456D">
        <w:trPr>
          <w:trHeight w:val="835"/>
        </w:trPr>
        <w:tc>
          <w:tcPr>
            <w:tcW w:w="170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Totale bilan</w:t>
            </w:r>
            <w:r w:rsidR="00D44172" w:rsidRPr="005D2F3F">
              <w:rPr>
                <w:sz w:val="15"/>
                <w:szCs w:val="15"/>
              </w:rPr>
              <w:t>cio (stanziamenti per impegni)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993.600</w:t>
            </w:r>
            <w:r w:rsidR="00D44172" w:rsidRPr="005D2F3F">
              <w:rPr>
                <w:sz w:val="15"/>
                <w:szCs w:val="15"/>
              </w:rPr>
              <w:t>**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2F3F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1.025.000</w:t>
            </w:r>
          </w:p>
          <w:p w:rsidR="008515B7" w:rsidRPr="005D2F3F" w:rsidRDefault="00D44172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(+58,3 miliardi euro fuori QFP)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2F3F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1.033.235</w:t>
            </w:r>
          </w:p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(+58,3 miliardi euro fuori QFP)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-50.000 milioni di euro almeno rispetto a </w:t>
            </w:r>
            <w:proofErr w:type="spellStart"/>
            <w:r w:rsidR="00332C4E" w:rsidRPr="005D2F3F">
              <w:rPr>
                <w:sz w:val="15"/>
                <w:szCs w:val="15"/>
              </w:rPr>
              <w:t>Com</w:t>
            </w:r>
            <w:proofErr w:type="spellEnd"/>
            <w:r w:rsidR="00332C4E" w:rsidRPr="005D2F3F">
              <w:rPr>
                <w:sz w:val="15"/>
                <w:szCs w:val="15"/>
              </w:rPr>
              <w:t xml:space="preserve">(2012) 388 </w:t>
            </w:r>
            <w:r w:rsidR="005D2F3F" w:rsidRPr="005D2F3F">
              <w:rPr>
                <w:sz w:val="15"/>
                <w:szCs w:val="15"/>
              </w:rPr>
              <w:t>(</w:t>
            </w:r>
            <w:r w:rsidR="00332C4E" w:rsidRPr="005D2F3F">
              <w:rPr>
                <w:sz w:val="15"/>
                <w:szCs w:val="15"/>
              </w:rPr>
              <w:t xml:space="preserve"> UE-28</w:t>
            </w:r>
            <w:r w:rsidRPr="005D2F3F">
              <w:rPr>
                <w:sz w:val="15"/>
                <w:szCs w:val="15"/>
              </w:rPr>
              <w:t>)</w:t>
            </w:r>
          </w:p>
          <w:p w:rsidR="008515B7" w:rsidRPr="005D2F3F" w:rsidRDefault="005D2F3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Totale bilancio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5D2F3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-80.737 milioni di euro </w:t>
            </w:r>
            <w:r w:rsidR="008515B7" w:rsidRPr="005D2F3F">
              <w:rPr>
                <w:sz w:val="15"/>
                <w:szCs w:val="15"/>
              </w:rPr>
              <w:t xml:space="preserve">rispetto a </w:t>
            </w:r>
            <w:proofErr w:type="spellStart"/>
            <w:r w:rsidR="00332C4E" w:rsidRPr="005D2F3F">
              <w:rPr>
                <w:sz w:val="15"/>
                <w:szCs w:val="15"/>
              </w:rPr>
              <w:t>Com</w:t>
            </w:r>
            <w:proofErr w:type="spellEnd"/>
            <w:r w:rsidR="00332C4E" w:rsidRPr="005D2F3F">
              <w:rPr>
                <w:sz w:val="15"/>
                <w:szCs w:val="15"/>
              </w:rPr>
              <w:t xml:space="preserve">(2012) 388 </w:t>
            </w:r>
            <w:r w:rsidRPr="005D2F3F">
              <w:rPr>
                <w:sz w:val="15"/>
                <w:szCs w:val="15"/>
              </w:rPr>
              <w:t>(</w:t>
            </w:r>
            <w:r w:rsidR="00332C4E" w:rsidRPr="005D2F3F">
              <w:rPr>
                <w:sz w:val="15"/>
                <w:szCs w:val="15"/>
              </w:rPr>
              <w:t>UE-28</w:t>
            </w:r>
            <w:r w:rsidR="008515B7" w:rsidRPr="005D2F3F">
              <w:rPr>
                <w:sz w:val="15"/>
                <w:szCs w:val="15"/>
              </w:rPr>
              <w:t>)</w:t>
            </w:r>
          </w:p>
          <w:p w:rsidR="005D2F3F" w:rsidRPr="005D2F3F" w:rsidRDefault="005D2F3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Totale bilancio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-80.783 milioni di euro</w:t>
            </w:r>
            <w:r w:rsidR="005D2F3F" w:rsidRPr="005D2F3F">
              <w:rPr>
                <w:sz w:val="15"/>
                <w:szCs w:val="15"/>
              </w:rPr>
              <w:t xml:space="preserve"> </w:t>
            </w:r>
            <w:r w:rsidRPr="005D2F3F">
              <w:rPr>
                <w:sz w:val="15"/>
                <w:szCs w:val="15"/>
              </w:rPr>
              <w:t xml:space="preserve">rispetto a </w:t>
            </w:r>
            <w:proofErr w:type="spellStart"/>
            <w:r w:rsidR="00332C4E" w:rsidRPr="005D2F3F">
              <w:rPr>
                <w:sz w:val="15"/>
                <w:szCs w:val="15"/>
              </w:rPr>
              <w:t>Com</w:t>
            </w:r>
            <w:proofErr w:type="spellEnd"/>
            <w:r w:rsidR="00332C4E" w:rsidRPr="005D2F3F">
              <w:rPr>
                <w:sz w:val="15"/>
                <w:szCs w:val="15"/>
              </w:rPr>
              <w:t xml:space="preserve">(2012) 388 </w:t>
            </w:r>
            <w:r w:rsidR="005D2F3F" w:rsidRPr="005D2F3F">
              <w:rPr>
                <w:sz w:val="15"/>
                <w:szCs w:val="15"/>
              </w:rPr>
              <w:t>(</w:t>
            </w:r>
            <w:r w:rsidR="00332C4E" w:rsidRPr="005D2F3F">
              <w:rPr>
                <w:sz w:val="15"/>
                <w:szCs w:val="15"/>
              </w:rPr>
              <w:t>UE-28</w:t>
            </w:r>
            <w:r w:rsidRPr="005D2F3F">
              <w:rPr>
                <w:sz w:val="15"/>
                <w:szCs w:val="15"/>
              </w:rPr>
              <w:t>)</w:t>
            </w:r>
          </w:p>
          <w:p w:rsidR="005D2F3F" w:rsidRPr="005D2F3F" w:rsidRDefault="005D2F3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Totale bilancio</w:t>
            </w:r>
          </w:p>
        </w:tc>
      </w:tr>
      <w:tr w:rsidR="008515B7" w:rsidRPr="005D2F3F" w:rsidTr="00347883">
        <w:trPr>
          <w:trHeight w:val="266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Rubrica 2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421.100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382.927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386.472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382.927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D44172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M</w:t>
            </w:r>
            <w:r w:rsidR="008515B7" w:rsidRPr="005D2F3F">
              <w:rPr>
                <w:sz w:val="15"/>
                <w:szCs w:val="15"/>
              </w:rPr>
              <w:t>assimo 378.972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364.472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372.229</w:t>
            </w:r>
          </w:p>
        </w:tc>
      </w:tr>
      <w:tr w:rsidR="008515B7" w:rsidRPr="005D2F3F" w:rsidTr="00347883">
        <w:trPr>
          <w:trHeight w:val="267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 pilastro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322.000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281.825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283.051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281.825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D44172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M</w:t>
            </w:r>
            <w:r w:rsidR="008515B7" w:rsidRPr="005D2F3F">
              <w:rPr>
                <w:sz w:val="15"/>
                <w:szCs w:val="15"/>
              </w:rPr>
              <w:t>assimo 277.401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269.852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277.852</w:t>
            </w:r>
          </w:p>
        </w:tc>
      </w:tr>
      <w:tr w:rsidR="008515B7" w:rsidRPr="005D2F3F" w:rsidTr="00347883">
        <w:trPr>
          <w:trHeight w:val="266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II pilastro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97.300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89.895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92.213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89.895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D44172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Massimo</w:t>
            </w:r>
            <w:r w:rsidR="008515B7" w:rsidRPr="005D2F3F">
              <w:rPr>
                <w:sz w:val="15"/>
                <w:szCs w:val="15"/>
              </w:rPr>
              <w:t xml:space="preserve"> 90.816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83.666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83.666</w:t>
            </w:r>
          </w:p>
        </w:tc>
      </w:tr>
      <w:tr w:rsidR="008515B7" w:rsidRPr="005D2F3F" w:rsidTr="00347883">
        <w:trPr>
          <w:trHeight w:val="1230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5D2F3F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Riduzione pagamenti diretti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8515B7" w:rsidP="005D2F3F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Congelati al livello nominale 2007-2013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5B7" w:rsidRPr="005D2F3F" w:rsidRDefault="008515B7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15B7" w:rsidRPr="005D2F3F" w:rsidRDefault="008515B7">
            <w:pPr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Riduzione dello </w:t>
            </w:r>
            <w:r w:rsidR="008515B7" w:rsidRPr="005D2F3F">
              <w:rPr>
                <w:sz w:val="15"/>
                <w:szCs w:val="15"/>
              </w:rPr>
              <w:t xml:space="preserve">0,27% </w:t>
            </w:r>
            <w:r w:rsidRPr="005D2F3F">
              <w:rPr>
                <w:sz w:val="15"/>
                <w:szCs w:val="15"/>
              </w:rPr>
              <w:t>almeno</w:t>
            </w:r>
            <w:r w:rsidR="008515B7" w:rsidRPr="005D2F3F">
              <w:rPr>
                <w:sz w:val="15"/>
                <w:szCs w:val="15"/>
              </w:rPr>
              <w:t xml:space="preserve"> tra 2015 e 2020</w:t>
            </w:r>
          </w:p>
          <w:p w:rsidR="008515B7" w:rsidRPr="005D2F3F" w:rsidRDefault="005D2F3F" w:rsidP="006148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</w:t>
            </w:r>
            <w:r w:rsidR="000A39A1" w:rsidRPr="005D2F3F">
              <w:rPr>
                <w:sz w:val="15"/>
                <w:szCs w:val="15"/>
              </w:rPr>
              <w:t>iungere a una riduzione dell’</w:t>
            </w:r>
            <w:r w:rsidR="008515B7" w:rsidRPr="005D2F3F">
              <w:rPr>
                <w:sz w:val="15"/>
                <w:szCs w:val="15"/>
              </w:rPr>
              <w:t>1,3% complessivo rispetto a proposta Commissione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Il livello medio comunitario dei pagamenti diretti a ettaro sarà ridotto a prezzi</w:t>
            </w:r>
            <w:r w:rsidR="005D2F3F">
              <w:rPr>
                <w:sz w:val="15"/>
                <w:szCs w:val="15"/>
              </w:rPr>
              <w:t xml:space="preserve"> correnti tra il 2015 e il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515B7" w:rsidRPr="005D2F3F" w:rsidRDefault="000A39A1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Il livello medio comunitario dei pagamenti diretti a ettaro sarà ridotto a prezzi correnti tra il 2015 e il 2020</w:t>
            </w:r>
          </w:p>
        </w:tc>
      </w:tr>
      <w:tr w:rsidR="00B76BAF" w:rsidRPr="005D2F3F" w:rsidTr="00347883">
        <w:trPr>
          <w:trHeight w:val="1230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Convergenza tra paesi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Paesi sotto 90% media UE recuperano di 1/3 della differenza tra livello attuale e il 90% media UE.  </w:t>
            </w:r>
            <w:r w:rsidRPr="005D2F3F">
              <w:rPr>
                <w:rFonts w:cs="TTE172EE08t00"/>
                <w:sz w:val="15"/>
                <w:szCs w:val="15"/>
              </w:rPr>
              <w:t>Tali importi finanziati proporzionalmente da paesi sopra media UE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>Paesi sotto 90% media UE  recuperano 1/3 della differenza tra livello attuale e 90% media UE.</w:t>
            </w:r>
          </w:p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>Tali importi finanziati proporzionalmente da paesi sopra media UE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 xml:space="preserve">Paesi sotto 70% media UE  recuperano 30% </w:t>
            </w:r>
            <w:r>
              <w:rPr>
                <w:rFonts w:cs="TTE172EE08t00"/>
                <w:sz w:val="15"/>
                <w:szCs w:val="15"/>
              </w:rPr>
              <w:t xml:space="preserve">della </w:t>
            </w:r>
            <w:r w:rsidRPr="005D2F3F">
              <w:rPr>
                <w:rFonts w:cs="TTE172EE08t00"/>
                <w:sz w:val="15"/>
                <w:szCs w:val="15"/>
              </w:rPr>
              <w:t>differenza tra livello attuale e media; quelli tra 70% e 80% media</w:t>
            </w:r>
            <w:r>
              <w:rPr>
                <w:rFonts w:cs="TTE172EE08t00"/>
                <w:sz w:val="15"/>
                <w:szCs w:val="15"/>
              </w:rPr>
              <w:t xml:space="preserve"> UE</w:t>
            </w:r>
            <w:r w:rsidRPr="005D2F3F">
              <w:rPr>
                <w:rFonts w:cs="TTE172EE08t00"/>
                <w:sz w:val="15"/>
                <w:szCs w:val="15"/>
              </w:rPr>
              <w:t xml:space="preserve"> recuperano il 25% della  differenza t</w:t>
            </w:r>
            <w:r>
              <w:rPr>
                <w:rFonts w:cs="TTE172EE08t00"/>
                <w:sz w:val="15"/>
                <w:szCs w:val="15"/>
              </w:rPr>
              <w:t>ra livello attuale e media;</w:t>
            </w:r>
            <w:r w:rsidRPr="005D2F3F">
              <w:rPr>
                <w:rFonts w:cs="TTE172EE08t00"/>
                <w:sz w:val="15"/>
                <w:szCs w:val="15"/>
              </w:rPr>
              <w:t xml:space="preserve"> quelli tra 80% e media</w:t>
            </w:r>
            <w:r>
              <w:rPr>
                <w:rFonts w:cs="TTE172EE08t00"/>
                <w:sz w:val="15"/>
                <w:szCs w:val="15"/>
              </w:rPr>
              <w:t xml:space="preserve"> UE</w:t>
            </w:r>
          </w:p>
          <w:p w:rsidR="00B76BA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>recuperano il 10% della differe</w:t>
            </w:r>
            <w:r>
              <w:rPr>
                <w:rFonts w:cs="TTE172EE08t00"/>
                <w:sz w:val="15"/>
                <w:szCs w:val="15"/>
              </w:rPr>
              <w:t>nza tra livello attuale e media</w:t>
            </w:r>
            <w:r w:rsidRPr="005D2F3F">
              <w:rPr>
                <w:rFonts w:cs="TTE172EE08t00"/>
                <w:sz w:val="15"/>
                <w:szCs w:val="15"/>
              </w:rPr>
              <w:t xml:space="preserve">. Nessun paese </w:t>
            </w:r>
            <w:r>
              <w:rPr>
                <w:rFonts w:cs="TTE172EE08t00"/>
                <w:sz w:val="15"/>
                <w:szCs w:val="15"/>
              </w:rPr>
              <w:t>deve stare sotto</w:t>
            </w:r>
            <w:r w:rsidRPr="005D2F3F">
              <w:rPr>
                <w:rFonts w:cs="TTE172EE08t00"/>
                <w:sz w:val="15"/>
                <w:szCs w:val="15"/>
              </w:rPr>
              <w:t xml:space="preserve"> al 65% </w:t>
            </w:r>
            <w:r>
              <w:rPr>
                <w:rFonts w:cs="TTE172EE08t00"/>
                <w:sz w:val="15"/>
                <w:szCs w:val="15"/>
              </w:rPr>
              <w:t xml:space="preserve">della </w:t>
            </w:r>
            <w:r w:rsidRPr="005D2F3F">
              <w:rPr>
                <w:rFonts w:cs="TTE172EE08t00"/>
                <w:sz w:val="15"/>
                <w:szCs w:val="15"/>
              </w:rPr>
              <w:t>media UE.</w:t>
            </w:r>
          </w:p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>
              <w:rPr>
                <w:rFonts w:cs="TTE172EE08t00"/>
                <w:sz w:val="15"/>
                <w:szCs w:val="15"/>
              </w:rPr>
              <w:t>I</w:t>
            </w:r>
            <w:r w:rsidRPr="005D2F3F">
              <w:rPr>
                <w:rFonts w:cs="TTE172EE08t00"/>
                <w:sz w:val="15"/>
                <w:szCs w:val="15"/>
              </w:rPr>
              <w:t>mporti finanziati proporzionalmente da paesi sopra media UE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Paesi sotto 90% media UE recuperano 1/3 della differenza tra livello attuale e 90% media UE</w:t>
            </w:r>
          </w:p>
          <w:p w:rsidR="00B76BA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Processo in 4 anni dal 2015 al 2018.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  <w:r w:rsidRPr="005D2F3F">
              <w:rPr>
                <w:rFonts w:cs="TTE172EE08t00"/>
                <w:sz w:val="15"/>
                <w:szCs w:val="15"/>
              </w:rPr>
              <w:t>mporti finanziati da paesi sopra la media UE proporzional</w:t>
            </w:r>
            <w:r>
              <w:rPr>
                <w:rFonts w:cs="TTE172EE08t00"/>
                <w:sz w:val="15"/>
                <w:szCs w:val="15"/>
              </w:rPr>
              <w:t>mente alla distanza dalla media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>Paesi sotto 90% media UE  recuperano 1/3 della differenza tra livello attuale e 90% media UE.</w:t>
            </w:r>
          </w:p>
          <w:p w:rsidR="00B76BA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Processo in sei anni dal 2015 al 2020.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</w:t>
            </w:r>
            <w:r w:rsidRPr="005D2F3F">
              <w:rPr>
                <w:rFonts w:cs="TTE172EE08t00"/>
                <w:sz w:val="15"/>
                <w:szCs w:val="15"/>
              </w:rPr>
              <w:t>mporti finanziati da paesi sopra la media UE proporzionalmente alla distanza dalla media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Pr="005D2F3F" w:rsidRDefault="00B76BAF" w:rsidP="00397CD8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>Paesi sotto 90% media UE  recuperano 1/3 della differenza tra livello attuale e 90% media UE.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D2F3F">
              <w:rPr>
                <w:sz w:val="15"/>
                <w:szCs w:val="15"/>
              </w:rPr>
              <w:t>l 2020 tutti gli Stati membri dovranno avere un aiuto a ettaro di almeno 196 euro</w:t>
            </w:r>
            <w:r w:rsidR="00776EE3">
              <w:rPr>
                <w:sz w:val="15"/>
                <w:szCs w:val="15"/>
              </w:rPr>
              <w:t xml:space="preserve"> (prezzi correnti)</w:t>
            </w:r>
            <w:bookmarkStart w:id="0" w:name="_GoBack"/>
            <w:bookmarkEnd w:id="0"/>
            <w:r w:rsidRPr="005D2F3F">
              <w:rPr>
                <w:sz w:val="15"/>
                <w:szCs w:val="15"/>
              </w:rPr>
              <w:t>.</w:t>
            </w:r>
          </w:p>
          <w:p w:rsidR="00B76BA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Processo in sei anni dal 2015 al 2020.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</w:t>
            </w:r>
            <w:r w:rsidRPr="005D2F3F">
              <w:rPr>
                <w:rFonts w:cs="TTE172EE08t00"/>
                <w:sz w:val="15"/>
                <w:szCs w:val="15"/>
              </w:rPr>
              <w:t>mporti finanziati da paesi sopra la media UE proporzionalmente alla distanza dalla media</w:t>
            </w:r>
          </w:p>
        </w:tc>
      </w:tr>
      <w:tr w:rsidR="00B76BAF" w:rsidRPr="005D2F3F" w:rsidTr="00347883">
        <w:trPr>
          <w:trHeight w:val="4569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5D2F3F">
            <w:pPr>
              <w:jc w:val="center"/>
              <w:rPr>
                <w:sz w:val="15"/>
                <w:szCs w:val="15"/>
              </w:rPr>
            </w:pPr>
            <w:proofErr w:type="spellStart"/>
            <w:r w:rsidRPr="005D2F3F">
              <w:rPr>
                <w:i/>
                <w:sz w:val="15"/>
                <w:szCs w:val="15"/>
              </w:rPr>
              <w:lastRenderedPageBreak/>
              <w:t>Capping</w:t>
            </w:r>
            <w:proofErr w:type="spellEnd"/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SI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Pr="005D2F3F">
              <w:rPr>
                <w:sz w:val="15"/>
                <w:szCs w:val="15"/>
              </w:rPr>
              <w:t>i terrà conto di economie di scala di aziende più grandi e del lavoro da queste impiegato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 w:val="15"/>
                <w:szCs w:val="15"/>
                <w:lang w:eastAsia="it-IT"/>
              </w:rPr>
            </w:pPr>
            <w:r w:rsidRPr="005D2F3F">
              <w:rPr>
                <w:rFonts w:eastAsia="Times New Roman" w:cs="Arial"/>
                <w:sz w:val="15"/>
                <w:szCs w:val="15"/>
                <w:lang w:eastAsia="it-IT"/>
              </w:rPr>
              <w:t>SI</w:t>
            </w:r>
          </w:p>
          <w:p w:rsidR="00B76BAF" w:rsidRPr="005D2F3F" w:rsidRDefault="00B76BAF" w:rsidP="00614821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Taglio del 20% per quota pagamenti </w:t>
            </w:r>
            <w:r w:rsidRPr="005D2F3F">
              <w:rPr>
                <w:rFonts w:cs="TTE172EE08t00"/>
                <w:sz w:val="15"/>
                <w:szCs w:val="15"/>
              </w:rPr>
              <w:t>tra  150.000 e  200.000 euro,  taglio del 40% per quota pagamenti tra</w:t>
            </w:r>
          </w:p>
          <w:p w:rsidR="00B76BAF" w:rsidRPr="005D2F3F" w:rsidRDefault="00B76BAF" w:rsidP="00614821">
            <w:pPr>
              <w:jc w:val="center"/>
              <w:rPr>
                <w:rFonts w:eastAsia="Times New Roman" w:cs="Arial"/>
                <w:sz w:val="15"/>
                <w:szCs w:val="15"/>
                <w:lang w:eastAsia="it-IT"/>
              </w:rPr>
            </w:pPr>
            <w:r w:rsidRPr="005D2F3F">
              <w:rPr>
                <w:rFonts w:cs="TTE172EE08t00"/>
                <w:sz w:val="15"/>
                <w:szCs w:val="15"/>
              </w:rPr>
              <w:t>200.000 e 250.000 euro, taglio del 70% per quota superiore a 250.000  fino a 300.000 euro</w:t>
            </w:r>
            <w:r>
              <w:rPr>
                <w:rFonts w:cs="TTE172EE08t00"/>
                <w:sz w:val="15"/>
                <w:szCs w:val="15"/>
              </w:rPr>
              <w:t>.</w:t>
            </w:r>
          </w:p>
          <w:p w:rsidR="00B76BAF" w:rsidRPr="005D2F3F" w:rsidRDefault="00B76BAF" w:rsidP="00614821">
            <w:pPr>
              <w:jc w:val="center"/>
              <w:rPr>
                <w:rFonts w:eastAsia="Times New Roman" w:cs="Arial"/>
                <w:sz w:val="15"/>
                <w:szCs w:val="15"/>
                <w:lang w:eastAsia="it-IT"/>
              </w:rPr>
            </w:pPr>
            <w:r>
              <w:rPr>
                <w:rFonts w:eastAsia="Times New Roman" w:cs="Arial"/>
                <w:sz w:val="15"/>
                <w:szCs w:val="15"/>
                <w:lang w:eastAsia="it-IT"/>
              </w:rPr>
              <w:t>L</w:t>
            </w:r>
            <w:r w:rsidRPr="005D2F3F">
              <w:rPr>
                <w:rFonts w:eastAsia="Times New Roman" w:cs="Arial"/>
                <w:sz w:val="15"/>
                <w:szCs w:val="15"/>
                <w:lang w:eastAsia="it-IT"/>
              </w:rPr>
              <w:t>a quota di aiuti superiore a 300.000 euro sarà completamente decurtata (taglio del 100%). Esclusi dal calcolo i pagamenti verdi.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rFonts w:eastAsia="Times New Roman" w:cs="Arial"/>
                <w:sz w:val="15"/>
                <w:szCs w:val="15"/>
                <w:lang w:eastAsia="it-IT"/>
              </w:rPr>
              <w:t>Si terrà conto del lavoro impiegato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SI</w:t>
            </w:r>
          </w:p>
          <w:p w:rsidR="00B76BAF" w:rsidRPr="005D2F3F" w:rsidRDefault="00B76BAF" w:rsidP="00614821">
            <w:pPr>
              <w:autoSpaceDE w:val="0"/>
              <w:autoSpaceDN w:val="0"/>
              <w:adjustRightInd w:val="0"/>
              <w:jc w:val="center"/>
              <w:rPr>
                <w:rFonts w:cs="TTE172EE08t00"/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Taglio del 20% per quota pagamenti </w:t>
            </w:r>
            <w:r w:rsidRPr="005D2F3F">
              <w:rPr>
                <w:rFonts w:cs="TTE172EE08t00"/>
                <w:sz w:val="15"/>
                <w:szCs w:val="15"/>
              </w:rPr>
              <w:t>tra  150.000 e  200.000 euro, taglio del 40% per quota pagamenti tra</w:t>
            </w:r>
          </w:p>
          <w:p w:rsidR="00B76BAF" w:rsidRPr="005D2F3F" w:rsidRDefault="00B76BAF" w:rsidP="00614821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5D2F3F">
              <w:rPr>
                <w:rFonts w:cs="TTE172EE08t00"/>
                <w:sz w:val="15"/>
                <w:szCs w:val="15"/>
              </w:rPr>
              <w:t xml:space="preserve">200.000 e 250.000 euro, taglio dell’80% per quota superiore a 250.000 euro. Tetto massimo </w:t>
            </w:r>
            <w:r>
              <w:rPr>
                <w:rFonts w:cs="TTE172EE08t00"/>
                <w:sz w:val="15"/>
                <w:szCs w:val="15"/>
              </w:rPr>
              <w:t xml:space="preserve">dei </w:t>
            </w:r>
            <w:r w:rsidRPr="005D2F3F">
              <w:rPr>
                <w:rFonts w:cs="TTE172EE08t00"/>
                <w:sz w:val="15"/>
                <w:szCs w:val="15"/>
              </w:rPr>
              <w:t xml:space="preserve">pagamenti </w:t>
            </w:r>
            <w:r>
              <w:rPr>
                <w:rFonts w:cs="TTE172EE08t00"/>
                <w:sz w:val="15"/>
                <w:szCs w:val="15"/>
              </w:rPr>
              <w:t>a</w:t>
            </w:r>
            <w:r w:rsidRPr="005D2F3F">
              <w:rPr>
                <w:rFonts w:cs="TTE172EE08t00"/>
                <w:sz w:val="15"/>
                <w:szCs w:val="15"/>
              </w:rPr>
              <w:t xml:space="preserve"> 300.000 euro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SI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Rivolto a grandi aziende e tenendo conto del lavoro impiegato. Modalità definite nella legislazione di settore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Oppure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NO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Volontario per Stato membro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Volontario per Stato membro</w:t>
            </w:r>
          </w:p>
        </w:tc>
      </w:tr>
      <w:tr w:rsidR="00B76BAF" w:rsidRPr="005D2F3F" w:rsidTr="00347883">
        <w:trPr>
          <w:trHeight w:val="2394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5D2F3F">
            <w:pPr>
              <w:jc w:val="center"/>
              <w:rPr>
                <w:sz w:val="15"/>
                <w:szCs w:val="15"/>
              </w:rPr>
            </w:pPr>
            <w:proofErr w:type="spellStart"/>
            <w:r w:rsidRPr="005D2F3F">
              <w:rPr>
                <w:i/>
                <w:sz w:val="15"/>
                <w:szCs w:val="15"/>
              </w:rPr>
              <w:t>Greening</w:t>
            </w:r>
            <w:proofErr w:type="spellEnd"/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5D2F3F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30% massimale nazionale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30% massimale nazionale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30% massimale nazionale (paesi possono aumentare tale percentuale su base volontaria)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Fino a 30% del massimale nazionale. Tutti gli agricoltori soggetti al </w:t>
            </w:r>
            <w:proofErr w:type="spellStart"/>
            <w:r w:rsidRPr="005D2F3F">
              <w:rPr>
                <w:i/>
                <w:sz w:val="15"/>
                <w:szCs w:val="15"/>
              </w:rPr>
              <w:t>greening</w:t>
            </w:r>
            <w:proofErr w:type="spellEnd"/>
            <w:r w:rsidRPr="005D2F3F">
              <w:rPr>
                <w:sz w:val="15"/>
                <w:szCs w:val="15"/>
              </w:rPr>
              <w:t>. Flessibilità agli S</w:t>
            </w:r>
            <w:r>
              <w:rPr>
                <w:sz w:val="15"/>
                <w:szCs w:val="15"/>
              </w:rPr>
              <w:t>tati membri</w:t>
            </w:r>
            <w:r w:rsidRPr="005D2F3F">
              <w:rPr>
                <w:sz w:val="15"/>
                <w:szCs w:val="15"/>
              </w:rPr>
              <w:t xml:space="preserve"> nella scelta delle misure verdi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30% del massimale nazionale.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Tutti gli agricoltori soggetti al </w:t>
            </w:r>
            <w:proofErr w:type="spellStart"/>
            <w:r w:rsidRPr="005D2F3F">
              <w:rPr>
                <w:i/>
                <w:sz w:val="15"/>
                <w:szCs w:val="15"/>
              </w:rPr>
              <w:t>greening</w:t>
            </w:r>
            <w:proofErr w:type="spellEnd"/>
            <w:r w:rsidRPr="005D2F3F">
              <w:rPr>
                <w:sz w:val="15"/>
                <w:szCs w:val="15"/>
              </w:rPr>
              <w:t>.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Definizione misure a carico di Parlamento europeo e Consiglio, evitando carichi burocratici inutili. Flessibilità agli S</w:t>
            </w:r>
            <w:r>
              <w:rPr>
                <w:sz w:val="15"/>
                <w:szCs w:val="15"/>
              </w:rPr>
              <w:t>tati membri</w:t>
            </w:r>
            <w:r w:rsidRPr="005D2F3F">
              <w:rPr>
                <w:sz w:val="15"/>
                <w:szCs w:val="15"/>
              </w:rPr>
              <w:t xml:space="preserve"> nella scelta delle misure verdi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30% del massimale nazionale.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Tutti gli agricoltori soggetti al </w:t>
            </w:r>
            <w:proofErr w:type="spellStart"/>
            <w:r w:rsidRPr="005D2F3F">
              <w:rPr>
                <w:i/>
                <w:sz w:val="15"/>
                <w:szCs w:val="15"/>
              </w:rPr>
              <w:t>greening</w:t>
            </w:r>
            <w:proofErr w:type="spellEnd"/>
            <w:r w:rsidRPr="005D2F3F">
              <w:rPr>
                <w:sz w:val="15"/>
                <w:szCs w:val="15"/>
              </w:rPr>
              <w:t>.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Definizione misure a carico di Parlamento europeo e Consiglio, evitando carichi burocratici inutili. Flessibilità agli S</w:t>
            </w:r>
            <w:r>
              <w:rPr>
                <w:sz w:val="15"/>
                <w:szCs w:val="15"/>
              </w:rPr>
              <w:t>tati membri</w:t>
            </w:r>
            <w:r w:rsidRPr="005D2F3F">
              <w:rPr>
                <w:sz w:val="15"/>
                <w:szCs w:val="15"/>
              </w:rPr>
              <w:t xml:space="preserve"> nella scelta delle misure verdi equivalenti</w:t>
            </w:r>
          </w:p>
        </w:tc>
      </w:tr>
      <w:tr w:rsidR="00B76BAF" w:rsidRPr="005D2F3F" w:rsidTr="00347883">
        <w:trPr>
          <w:trHeight w:val="2394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Flessibilità tra pilastri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La Commissione dovrà presentare delle proposte per permettere la flessibilità tra pilastri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Dal FEAGA al FEASR fino al 10% massimali nazionali (tutti i paesi).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Dal FEASR al FEAGA fino al 5% della dotazione SR (solo paesi con aiuto medio a ettaro sotto 90% media UE)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Dal FEAGA al FEASR al 10% massimali nazionali + fino al 5% da fondi non spesi pagamenti verdi e fondi non allocati pagamenti zone svantaggiate (tutti i paesi). Ulteriore 10% per alcuni paesi svantaggiati nella dotazione dello SR.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Dal FEAGA al FEASR </w:t>
            </w:r>
            <w:proofErr w:type="spellStart"/>
            <w:r w:rsidRPr="005D2F3F">
              <w:rPr>
                <w:sz w:val="15"/>
                <w:szCs w:val="15"/>
              </w:rPr>
              <w:lastRenderedPageBreak/>
              <w:t>max</w:t>
            </w:r>
            <w:proofErr w:type="spellEnd"/>
            <w:r w:rsidRPr="005D2F3F">
              <w:rPr>
                <w:sz w:val="15"/>
                <w:szCs w:val="15"/>
              </w:rPr>
              <w:t xml:space="preserve"> 20%.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Dal FEASR al FEAGA valida proposta Commissione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lastRenderedPageBreak/>
              <w:t>Da FEAGA a FEASR fino a [da 10 a 15]% tutti</w:t>
            </w:r>
          </w:p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Da FEASR a FEAGA fino a [da 5 a 10]% solo paesi sotto 90% media UE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Fino a 15% può dal I al </w:t>
            </w:r>
            <w:r>
              <w:rPr>
                <w:sz w:val="15"/>
                <w:szCs w:val="15"/>
              </w:rPr>
              <w:t>I</w:t>
            </w:r>
            <w:r w:rsidRPr="005D2F3F">
              <w:rPr>
                <w:sz w:val="15"/>
                <w:szCs w:val="15"/>
              </w:rPr>
              <w:t>I pilastro e viceversa. Aperto a tutti i paesi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Pr="005D2F3F" w:rsidRDefault="00B76BAF" w:rsidP="00397CD8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Fino a 15% dal I al </w:t>
            </w:r>
            <w:r>
              <w:rPr>
                <w:sz w:val="15"/>
                <w:szCs w:val="15"/>
              </w:rPr>
              <w:t>I</w:t>
            </w:r>
            <w:r w:rsidRPr="005D2F3F">
              <w:rPr>
                <w:sz w:val="15"/>
                <w:szCs w:val="15"/>
              </w:rPr>
              <w:t>I pilastro e viceversa. Aperto a tutti i paesi</w:t>
            </w:r>
          </w:p>
        </w:tc>
      </w:tr>
      <w:tr w:rsidR="00B76BAF" w:rsidRPr="005D2F3F" w:rsidTr="00347883">
        <w:trPr>
          <w:trHeight w:val="1115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lastRenderedPageBreak/>
              <w:t>Riserva per le crisi nel settore agricolo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Fuori QFP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3.500 milioni di euro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Dentro QFP 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(Rubrica 2)</w:t>
            </w:r>
          </w:p>
          <w:p w:rsidR="00B76BAF" w:rsidRPr="005D2F3F" w:rsidRDefault="00DD0DAB" w:rsidP="00DD0DA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</w:t>
            </w:r>
            <w:r w:rsidR="00B76BAF" w:rsidRPr="005D2F3F">
              <w:rPr>
                <w:sz w:val="15"/>
                <w:szCs w:val="15"/>
              </w:rPr>
              <w:t>ino a 1.500 milioni di euro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Dentro QFP 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(Rubrica 2)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2.800 milioni di euro</w:t>
            </w:r>
            <w:r w:rsidR="00DD0DAB" w:rsidRPr="005D2F3F">
              <w:rPr>
                <w:sz w:val="15"/>
                <w:szCs w:val="15"/>
              </w:rPr>
              <w:t xml:space="preserve"> Finanziamento a carico del </w:t>
            </w:r>
            <w:r w:rsidR="00DD0DAB">
              <w:rPr>
                <w:sz w:val="15"/>
                <w:szCs w:val="15"/>
              </w:rPr>
              <w:t>degli aiuti diretti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Dentro QFP </w:t>
            </w:r>
          </w:p>
          <w:p w:rsidR="00B76BAF" w:rsidRPr="005D2F3F" w:rsidRDefault="00B76BAF" w:rsidP="00614821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(Rubrica 2)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 xml:space="preserve">2.800 milioni di euro. Finanziamento a carico del </w:t>
            </w:r>
            <w:r>
              <w:rPr>
                <w:sz w:val="15"/>
                <w:szCs w:val="15"/>
              </w:rPr>
              <w:t xml:space="preserve">degli aiuti diretti </w:t>
            </w:r>
          </w:p>
        </w:tc>
      </w:tr>
      <w:tr w:rsidR="00B76BAF" w:rsidRPr="005D2F3F" w:rsidTr="00347883">
        <w:trPr>
          <w:trHeight w:val="1260"/>
        </w:trPr>
        <w:tc>
          <w:tcPr>
            <w:tcW w:w="170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II pilastro – dotazioni nazionali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Le quote di ripartizione tra S</w:t>
            </w:r>
            <w:r>
              <w:rPr>
                <w:sz w:val="15"/>
                <w:szCs w:val="15"/>
              </w:rPr>
              <w:t>tati membri</w:t>
            </w:r>
            <w:r w:rsidRPr="005D2F3F">
              <w:rPr>
                <w:sz w:val="15"/>
                <w:szCs w:val="15"/>
              </w:rPr>
              <w:t xml:space="preserve"> saranno determinate sulla base di una serie di obiettivi </w:t>
            </w:r>
            <w:r w:rsidRPr="005D2F3F">
              <w:rPr>
                <w:rFonts w:eastAsia="Calibri" w:cs="Times New Roman"/>
                <w:sz w:val="15"/>
                <w:szCs w:val="15"/>
              </w:rPr>
              <w:t>territorial</w:t>
            </w:r>
            <w:r w:rsidRPr="005D2F3F">
              <w:rPr>
                <w:sz w:val="15"/>
                <w:szCs w:val="15"/>
              </w:rPr>
              <w:t>i e criteri che riflettono i futuri obiettivi di politica economica, sociale, ambientale e territoriale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Medesime quote di ripartizione tra S</w:t>
            </w:r>
            <w:r>
              <w:rPr>
                <w:sz w:val="15"/>
                <w:szCs w:val="15"/>
              </w:rPr>
              <w:t xml:space="preserve">tati membri </w:t>
            </w:r>
            <w:r w:rsidRPr="005D2F3F">
              <w:rPr>
                <w:sz w:val="15"/>
                <w:szCs w:val="15"/>
              </w:rPr>
              <w:t>della programmazione 2007-2013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Distribuito tra paesi sulla base di criteri oggettivi e passata performance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Distribuito tra paesi sulla base di criteri o</w:t>
            </w:r>
            <w:r>
              <w:rPr>
                <w:sz w:val="15"/>
                <w:szCs w:val="15"/>
              </w:rPr>
              <w:t>ggettivi e passata performance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Distribuito tra paesi sulla base di criteri oggettivi e passata performance, come pure di specifiche allocazioni per 2,370 miliardi di euro</w:t>
            </w:r>
          </w:p>
        </w:tc>
      </w:tr>
      <w:tr w:rsidR="00B76BAF" w:rsidRPr="005D2F3F" w:rsidTr="00347883">
        <w:tc>
          <w:tcPr>
            <w:tcW w:w="1702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proofErr w:type="spellStart"/>
            <w:r w:rsidRPr="005D2F3F">
              <w:rPr>
                <w:sz w:val="15"/>
                <w:szCs w:val="15"/>
              </w:rPr>
              <w:t>Confinaziamento</w:t>
            </w:r>
            <w:proofErr w:type="spellEnd"/>
            <w:r w:rsidRPr="005D2F3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sviluppo rurale</w:t>
            </w:r>
          </w:p>
        </w:tc>
        <w:tc>
          <w:tcPr>
            <w:tcW w:w="5528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76BAF" w:rsidRPr="005D2F3F" w:rsidRDefault="00B76BAF">
            <w:pPr>
              <w:rPr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76BAF" w:rsidRPr="005D2F3F" w:rsidRDefault="00B76BAF">
            <w:pPr>
              <w:rPr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100% per fondi trasferiti dal FEAGA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60% per obiettivi ambientali tasso che aumenta al 90% nelle regioni meno sviluppate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[da 75 a 85]% nelle regioni meno sviluppate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in tute le regioni dove GDP pro capite 2007-13 &lt; 75% media UE-25 ma &gt; 75%  GDP medio UE-27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60% in regioni in transizione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[da 50 a 55]% nelle altre regioni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per obiettivi ambientali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100% per fondi trasferiti dal FEAGA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20% tasso di cofinanziamento minimo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nelle regioni meno sviluppate;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in tutte le regioni dove GDP pro capite 2007-13 &lt; 75% media UE-25 ma &gt; 75%  GDP medio UE-27;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60% in regioni in transizione;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50% nelle altre regioni;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per obiettivi ambientali;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100% per fondi trasferiti dal FEAGA;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20% tasso di cofinanziamento minimo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nelle regioni meno sviluppate;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in tutte le regioni dove GDP pro capite 2007-13 &lt; 75% media UE-25 ma &gt; 75%  GDP medio UE-27;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60% in regioni in transizione;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50% nelle altre regioni;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75% per obiettivi ambientali;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100% per fondi trasferiti dal FEAGA;</w:t>
            </w:r>
          </w:p>
          <w:p w:rsidR="00B76BAF" w:rsidRPr="005D2F3F" w:rsidRDefault="00B76BAF" w:rsidP="00F30EF0">
            <w:pPr>
              <w:jc w:val="center"/>
              <w:rPr>
                <w:sz w:val="15"/>
                <w:szCs w:val="15"/>
              </w:rPr>
            </w:pPr>
            <w:r w:rsidRPr="005D2F3F">
              <w:rPr>
                <w:sz w:val="15"/>
                <w:szCs w:val="15"/>
              </w:rPr>
              <w:t>20% tasso di cofinanziamento minimo</w:t>
            </w:r>
          </w:p>
        </w:tc>
      </w:tr>
    </w:tbl>
    <w:p w:rsidR="00F30EF0" w:rsidRPr="00F30EF0" w:rsidRDefault="00B768CA" w:rsidP="00B768CA">
      <w:pPr>
        <w:spacing w:after="0" w:line="240" w:lineRule="auto"/>
        <w:rPr>
          <w:sz w:val="15"/>
          <w:szCs w:val="15"/>
        </w:rPr>
      </w:pPr>
      <w:r w:rsidRPr="00F30EF0">
        <w:rPr>
          <w:sz w:val="15"/>
          <w:szCs w:val="15"/>
        </w:rPr>
        <w:t>* Prospetti ve 2007-2013 a prezzi 2011 tratti da [</w:t>
      </w:r>
      <w:hyperlink r:id="rId8" w:history="1">
        <w:r w:rsidRPr="00F30EF0">
          <w:rPr>
            <w:rStyle w:val="Collegamentoipertestuale"/>
            <w:sz w:val="15"/>
            <w:szCs w:val="15"/>
          </w:rPr>
          <w:t>pdf</w:t>
        </w:r>
      </w:hyperlink>
      <w:r w:rsidRPr="00F30EF0">
        <w:rPr>
          <w:sz w:val="15"/>
          <w:szCs w:val="15"/>
        </w:rPr>
        <w:t>]</w:t>
      </w:r>
    </w:p>
    <w:p w:rsidR="000B3D16" w:rsidRPr="00F30EF0" w:rsidRDefault="0026077C" w:rsidP="00B768CA">
      <w:pPr>
        <w:spacing w:after="0" w:line="240" w:lineRule="auto"/>
        <w:rPr>
          <w:sz w:val="15"/>
          <w:szCs w:val="15"/>
        </w:rPr>
      </w:pPr>
      <w:r w:rsidRPr="00F30EF0">
        <w:rPr>
          <w:sz w:val="15"/>
          <w:szCs w:val="15"/>
        </w:rPr>
        <w:t>*</w:t>
      </w:r>
      <w:r w:rsidR="00B768CA" w:rsidRPr="00F30EF0">
        <w:rPr>
          <w:sz w:val="15"/>
          <w:szCs w:val="15"/>
        </w:rPr>
        <w:t>*</w:t>
      </w:r>
      <w:r w:rsidRPr="00F30EF0">
        <w:rPr>
          <w:sz w:val="15"/>
          <w:szCs w:val="15"/>
        </w:rPr>
        <w:t xml:space="preserve">   escluse le poste fuori bilancio</w:t>
      </w:r>
    </w:p>
    <w:p w:rsidR="00D44172" w:rsidRPr="00F30EF0" w:rsidRDefault="00D44172" w:rsidP="00B768CA">
      <w:pPr>
        <w:spacing w:after="0" w:line="240" w:lineRule="auto"/>
        <w:rPr>
          <w:sz w:val="15"/>
          <w:szCs w:val="15"/>
        </w:rPr>
      </w:pPr>
      <w:r w:rsidRPr="00F30EF0">
        <w:rPr>
          <w:sz w:val="15"/>
          <w:szCs w:val="15"/>
        </w:rPr>
        <w:t xml:space="preserve">Note: i dati sugli importi di bilancio delle proposte sono tratti da Alan </w:t>
      </w:r>
      <w:proofErr w:type="spellStart"/>
      <w:r w:rsidRPr="00F30EF0">
        <w:rPr>
          <w:sz w:val="15"/>
          <w:szCs w:val="15"/>
        </w:rPr>
        <w:t>Matthews</w:t>
      </w:r>
      <w:proofErr w:type="spellEnd"/>
      <w:r w:rsidRPr="00F30EF0">
        <w:rPr>
          <w:sz w:val="15"/>
          <w:szCs w:val="15"/>
        </w:rPr>
        <w:t xml:space="preserve"> [</w:t>
      </w:r>
      <w:hyperlink r:id="rId9" w:history="1">
        <w:r w:rsidRPr="00F30EF0">
          <w:rPr>
            <w:rStyle w:val="Collegamentoipertestuale"/>
            <w:sz w:val="15"/>
            <w:szCs w:val="15"/>
          </w:rPr>
          <w:t>link</w:t>
        </w:r>
      </w:hyperlink>
      <w:r w:rsidRPr="00F30EF0">
        <w:rPr>
          <w:sz w:val="15"/>
          <w:szCs w:val="15"/>
        </w:rPr>
        <w:t>]</w:t>
      </w:r>
      <w:r w:rsidR="00332C4E" w:rsidRPr="00F30EF0">
        <w:rPr>
          <w:sz w:val="15"/>
          <w:szCs w:val="15"/>
        </w:rPr>
        <w:t xml:space="preserve"> [</w:t>
      </w:r>
      <w:hyperlink r:id="rId10" w:history="1">
        <w:r w:rsidR="00332C4E" w:rsidRPr="00F30EF0">
          <w:rPr>
            <w:rStyle w:val="Collegamentoipertestuale"/>
            <w:sz w:val="15"/>
            <w:szCs w:val="15"/>
          </w:rPr>
          <w:t>link</w:t>
        </w:r>
      </w:hyperlink>
      <w:r w:rsidR="00332C4E" w:rsidRPr="00F30EF0">
        <w:rPr>
          <w:sz w:val="15"/>
          <w:szCs w:val="15"/>
        </w:rPr>
        <w:t>]</w:t>
      </w:r>
    </w:p>
    <w:sectPr w:rsidR="00D44172" w:rsidRPr="00F30EF0" w:rsidSect="00B76BAF">
      <w:headerReference w:type="default" r:id="rId11"/>
      <w:footerReference w:type="default" r:id="rId12"/>
      <w:pgSz w:w="16838" w:h="11906" w:orient="landscape"/>
      <w:pgMar w:top="1134" w:right="141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80" w:rsidRDefault="00C47280" w:rsidP="00CA7BCF">
      <w:pPr>
        <w:spacing w:after="0" w:line="240" w:lineRule="auto"/>
      </w:pPr>
      <w:r>
        <w:separator/>
      </w:r>
    </w:p>
  </w:endnote>
  <w:endnote w:type="continuationSeparator" w:id="0">
    <w:p w:rsidR="00C47280" w:rsidRDefault="00C47280" w:rsidP="00CA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TE172EE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66267"/>
      <w:docPartObj>
        <w:docPartGallery w:val="Page Numbers (Bottom of Page)"/>
        <w:docPartUnique/>
      </w:docPartObj>
    </w:sdtPr>
    <w:sdtEndPr/>
    <w:sdtContent>
      <w:p w:rsidR="00C47280" w:rsidRDefault="008B456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280" w:rsidRDefault="00C472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80" w:rsidRDefault="00C47280" w:rsidP="00CA7BCF">
      <w:pPr>
        <w:spacing w:after="0" w:line="240" w:lineRule="auto"/>
      </w:pPr>
      <w:r>
        <w:separator/>
      </w:r>
    </w:p>
  </w:footnote>
  <w:footnote w:type="continuationSeparator" w:id="0">
    <w:p w:rsidR="00C47280" w:rsidRDefault="00C47280" w:rsidP="00CA7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280" w:rsidRDefault="00C47280">
    <w:pPr>
      <w:pStyle w:val="Intestazione"/>
      <w:jc w:val="right"/>
    </w:pPr>
  </w:p>
  <w:p w:rsidR="00C47280" w:rsidRDefault="00C472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BEA"/>
    <w:multiLevelType w:val="hybridMultilevel"/>
    <w:tmpl w:val="4FACFC60"/>
    <w:lvl w:ilvl="0" w:tplc="97A89BD2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A0FBA"/>
    <w:multiLevelType w:val="hybridMultilevel"/>
    <w:tmpl w:val="D218720E"/>
    <w:lvl w:ilvl="0" w:tplc="0A3858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722A7"/>
    <w:multiLevelType w:val="hybridMultilevel"/>
    <w:tmpl w:val="A0B0EB38"/>
    <w:lvl w:ilvl="0" w:tplc="F0B627BC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178E3"/>
    <w:multiLevelType w:val="hybridMultilevel"/>
    <w:tmpl w:val="9FEC9AD0"/>
    <w:lvl w:ilvl="0" w:tplc="9C7842D6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D6F84"/>
    <w:multiLevelType w:val="hybridMultilevel"/>
    <w:tmpl w:val="30745268"/>
    <w:lvl w:ilvl="0" w:tplc="0D12AE3E">
      <w:start w:val="20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4FF"/>
    <w:rsid w:val="000044CC"/>
    <w:rsid w:val="000A39A1"/>
    <w:rsid w:val="000B3D16"/>
    <w:rsid w:val="000B5883"/>
    <w:rsid w:val="000F4D70"/>
    <w:rsid w:val="00104AC5"/>
    <w:rsid w:val="0010761F"/>
    <w:rsid w:val="00250E51"/>
    <w:rsid w:val="0026077C"/>
    <w:rsid w:val="002B6934"/>
    <w:rsid w:val="00332C4E"/>
    <w:rsid w:val="00347883"/>
    <w:rsid w:val="00353EEF"/>
    <w:rsid w:val="003D69E5"/>
    <w:rsid w:val="0045157A"/>
    <w:rsid w:val="004831E4"/>
    <w:rsid w:val="004B02E1"/>
    <w:rsid w:val="004C0080"/>
    <w:rsid w:val="004D16F6"/>
    <w:rsid w:val="00500C3B"/>
    <w:rsid w:val="00567CF5"/>
    <w:rsid w:val="00596F5A"/>
    <w:rsid w:val="005D2F3F"/>
    <w:rsid w:val="005E024C"/>
    <w:rsid w:val="00614821"/>
    <w:rsid w:val="00691405"/>
    <w:rsid w:val="00691B96"/>
    <w:rsid w:val="00696FC2"/>
    <w:rsid w:val="006A3EA6"/>
    <w:rsid w:val="006F64C3"/>
    <w:rsid w:val="00776EE3"/>
    <w:rsid w:val="00786B6C"/>
    <w:rsid w:val="008515B7"/>
    <w:rsid w:val="00866BD4"/>
    <w:rsid w:val="008725FD"/>
    <w:rsid w:val="008B456D"/>
    <w:rsid w:val="0098586C"/>
    <w:rsid w:val="009A4888"/>
    <w:rsid w:val="00A245C9"/>
    <w:rsid w:val="00A954FF"/>
    <w:rsid w:val="00B055A9"/>
    <w:rsid w:val="00B11CEB"/>
    <w:rsid w:val="00B20AEC"/>
    <w:rsid w:val="00B768CA"/>
    <w:rsid w:val="00B76BAF"/>
    <w:rsid w:val="00C47280"/>
    <w:rsid w:val="00C92DC7"/>
    <w:rsid w:val="00CA7BCF"/>
    <w:rsid w:val="00D33B55"/>
    <w:rsid w:val="00D44172"/>
    <w:rsid w:val="00D61E02"/>
    <w:rsid w:val="00D73C0C"/>
    <w:rsid w:val="00D76B46"/>
    <w:rsid w:val="00DA3A78"/>
    <w:rsid w:val="00DA4952"/>
    <w:rsid w:val="00DD0DAB"/>
    <w:rsid w:val="00E106B6"/>
    <w:rsid w:val="00E718E6"/>
    <w:rsid w:val="00F30EF0"/>
    <w:rsid w:val="00F716D0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044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7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BCF"/>
  </w:style>
  <w:style w:type="paragraph" w:styleId="Pidipagina">
    <w:name w:val="footer"/>
    <w:basedOn w:val="Normale"/>
    <w:link w:val="PidipaginaCarattere"/>
    <w:uiPriority w:val="99"/>
    <w:unhideWhenUsed/>
    <w:rsid w:val="00CA7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BCF"/>
  </w:style>
  <w:style w:type="character" w:styleId="Collegamentoipertestuale">
    <w:name w:val="Hyperlink"/>
    <w:basedOn w:val="Carpredefinitoparagrafo"/>
    <w:uiPriority w:val="99"/>
    <w:unhideWhenUsed/>
    <w:rsid w:val="00B768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ohanureel_11071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reform.eu/no-decision-on-mff-budget-at-first-attem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preform.eu/mff-baton-passes-to-van-rompuy-further-cuts-proposed-compared-to-commission-propos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Pupo D'Andrea</dc:creator>
  <cp:keywords/>
  <dc:description/>
  <cp:lastModifiedBy>Maria Carmela Macri</cp:lastModifiedBy>
  <cp:revision>10</cp:revision>
  <cp:lastPrinted>2012-11-30T12:07:00Z</cp:lastPrinted>
  <dcterms:created xsi:type="dcterms:W3CDTF">2012-11-28T12:08:00Z</dcterms:created>
  <dcterms:modified xsi:type="dcterms:W3CDTF">2012-11-30T15:55:00Z</dcterms:modified>
</cp:coreProperties>
</file>